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80"/>
        <w:jc w:val="center"/>
      </w:pPr>
      <w:r>
        <w:rPr>
          <w:b/>
          <w:bCs/>
          <w:color w:val="1A2A52"/>
          <w:spacing w:val="80"/>
          <w:sz w:val="22"/>
          <w:szCs w:val="22"/>
        </w:rPr>
        <w:t xml:space="preserve">ADVAY LABS</w:t>
      </w:r>
    </w:p>
    <w:p>
      <w:pPr>
        <w:spacing w:after="200" w:before="0"/>
        <w:jc w:val="center"/>
      </w:pPr>
      <w:r>
        <w:rPr>
          <w:color w:val="707070"/>
          <w:sz w:val="18"/>
          <w:szCs w:val="18"/>
        </w:rPr>
        <w:t xml:space="preserve">Quantum Architecture Validation Report</w:t>
      </w:r>
    </w:p>
    <w:p>
      <w:pPr>
        <w:spacing w:after="60" w:before="200"/>
        <w:jc w:val="center"/>
      </w:pPr>
      <w:r>
        <w:rPr>
          <w:b/>
          <w:bCs/>
          <w:color w:val="0F5132"/>
          <w:sz w:val="44"/>
          <w:szCs w:val="44"/>
        </w:rPr>
        <w:t xml:space="preserve">Fabrication planning ready</w:t>
      </w:r>
    </w:p>
    <w:p>
      <w:pPr>
        <w:spacing w:after="480" w:before="0"/>
        <w:jc w:val="center"/>
      </w:pPr>
      <w:r>
        <w:rPr>
          <w:color w:val="404040"/>
          <w:sz w:val="22"/>
          <w:szCs w:val="22"/>
        </w:rPr>
        <w:t xml:space="preserve">Readiness score: 96 / 100   ·   Confidence: L3 — Engineering Grade</w:t>
      </w:r>
    </w:p>
    <w:p>
      <w:pPr>
        <w:spacing w:after="60" w:before="0"/>
        <w:jc w:val="center"/>
      </w:pPr>
      <w:r>
        <w:rPr>
          <w:color w:val="707070"/>
          <w:sz w:val="18"/>
          <w:szCs w:val="18"/>
        </w:rPr>
        <w:t xml:space="preserve">Run ID: sample-2026-005</w:t>
      </w:r>
    </w:p>
    <w:p>
      <w:pPr>
        <w:spacing w:after="60" w:before="0"/>
        <w:jc w:val="center"/>
      </w:pPr>
      <w:r>
        <w:rPr>
          <w:color w:val="707070"/>
          <w:sz w:val="18"/>
          <w:szCs w:val="18"/>
        </w:rPr>
        <w:t xml:space="preserve">Issued: 23 May 2026 at 3:12 am IST</w:t>
      </w:r>
    </w:p>
    <w:p>
      <w:pPr>
        <w:spacing w:after="60" w:before="600"/>
        <w:jc w:val="center"/>
      </w:pPr>
      <w:r>
        <w:rPr>
          <w:i/>
          <w:iCs/>
          <w:color w:val="842029"/>
          <w:sz w:val="18"/>
          <w:szCs w:val="18"/>
        </w:rPr>
        <w:t xml:space="preserve">Auto-generated platform report — not independently reviewed by Advay Labs.</w:t>
      </w:r>
    </w:p>
    <w:p>
      <w:pPr>
        <w:spacing w:after="60" w:before="0"/>
        <w:jc w:val="center"/>
      </w:pPr>
      <w:r>
        <w:rPr>
          <w:color w:val="707070"/>
          <w:sz w:val="16"/>
          <w:szCs w:val="16"/>
        </w:rPr>
        <w:t xml:space="preserve">For an Advay-engineer-reviewed report, request the Expert Review add-on at https://advaylabs.com/pricing.</w:t>
      </w:r>
    </w:p>
    <w:p>
      <w:pPr>
        <w:spacing w:after="0" w:before="1200"/>
        <w:jc w:val="center"/>
      </w:pPr>
      <w:r>
        <w:rPr>
          <w:b/>
          <w:bCs/>
          <w:color w:val="842029"/>
          <w:sz w:val="16"/>
          <w:szCs w:val="16"/>
        </w:rPr>
        <w:t xml:space="preserve">CONFIDENTIAL — for the named recipient only. Do not redistribute without Advay Labs's prior written consent.</w:t>
      </w:r>
    </w:p>
    <w:p>
      <w:pPr>
        <w:pageBreakBefore/>
      </w:pPr>
      <w:r>
        <w:rPr>
          <w:sz w:val="4"/>
          <w:szCs w:val="4"/>
        </w:rPr>
        <w:t xml:space="preserve"/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1. Executive summary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Verdict: </w:t>
      </w:r>
      <w:r>
        <w:rPr>
          <w:color w:val="404040"/>
          <w:sz w:val="22"/>
          <w:szCs w:val="22"/>
        </w:rPr>
        <w:t xml:space="preserve">Fabrication planning ready.</w:t>
      </w:r>
    </w:p>
    <w:p>
      <w:pPr>
        <w:spacing w:after="120" w:before="60" w:line="320"/>
        <w:jc w:val="both"/>
      </w:pPr>
      <w:r>
        <w:rPr>
          <w:color w:val="404040"/>
          <w:sz w:val="22"/>
          <w:szCs w:val="22"/>
        </w:rPr>
        <w:t xml:space="preserve">Resource projection fits within healthy thresholds across every checked dimension.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Readiness score: </w:t>
      </w:r>
      <w:r>
        <w:rPr>
          <w:color w:val="404040"/>
          <w:sz w:val="22"/>
          <w:szCs w:val="22"/>
        </w:rPr>
        <w:t xml:space="preserve">96 / 100. </w:t>
      </w:r>
      <w:r>
        <w:rPr>
          <w:b/>
          <w:bCs/>
          <w:color w:val="404040"/>
          <w:sz w:val="22"/>
          <w:szCs w:val="22"/>
        </w:rPr>
        <w:t xml:space="preserve">Confidence: </w:t>
      </w:r>
      <w:r>
        <w:rPr>
          <w:color w:val="404040"/>
          <w:sz w:val="22"/>
          <w:szCs w:val="22"/>
        </w:rPr>
        <w:t xml:space="preserve">L3 — Engineering Grade. </w:t>
      </w:r>
      <w:r>
        <w:rPr>
          <w:color w:val="404040"/>
          <w:sz w:val="22"/>
          <w:szCs w:val="22"/>
        </w:rPr>
        <w:t xml:space="preserve">Resource projection backed by EM-import / S-parameter evidence; suitable for engineering decisions and fabrication-readiness gating.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Gate summary: </w:t>
      </w:r>
      <w:r>
        <w:rPr>
          <w:color w:val="404040"/>
          <w:sz w:val="22"/>
          <w:szCs w:val="22"/>
        </w:rPr>
        <w:t xml:space="preserve">6 passed, 0 warnings, 0 failed </w:t>
      </w:r>
      <w:r>
        <w:rPr>
          <w:color w:val="404040"/>
          <w:sz w:val="22"/>
          <w:szCs w:val="22"/>
        </w:rPr>
        <w:t xml:space="preserve">(6 total synthesised checks).</w:t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2. Architecture reviewed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Qubits: </w:t>
      </w:r>
      <w:r>
        <w:rPr>
          <w:color w:val="404040"/>
          <w:sz w:val="22"/>
          <w:szCs w:val="22"/>
        </w:rPr>
        <w:t xml:space="preserve">8.  </w:t>
      </w:r>
      <w:r>
        <w:rPr>
          <w:b/>
          <w:bCs/>
          <w:color w:val="404040"/>
          <w:sz w:val="22"/>
          <w:szCs w:val="22"/>
        </w:rPr>
        <w:t xml:space="preserve">Classical bits: </w:t>
      </w:r>
      <w:r>
        <w:rPr>
          <w:color w:val="404040"/>
          <w:sz w:val="22"/>
          <w:szCs w:val="22"/>
        </w:rPr>
        <w:t xml:space="preserve">8.  </w:t>
      </w:r>
      <w:r>
        <w:rPr>
          <w:b/>
          <w:bCs/>
          <w:color w:val="404040"/>
          <w:sz w:val="22"/>
          <w:szCs w:val="22"/>
        </w:rPr>
        <w:t xml:space="preserve">Depth: </w:t>
      </w:r>
      <w:r>
        <w:rPr>
          <w:color w:val="404040"/>
          <w:sz w:val="22"/>
          <w:szCs w:val="22"/>
        </w:rPr>
        <w:t xml:space="preserve">14.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Gate composition: </w:t>
      </w:r>
      <w:r>
        <w:rPr>
          <w:color w:val="404040"/>
          <w:sz w:val="22"/>
          <w:szCs w:val="22"/>
        </w:rPr>
        <w:t xml:space="preserve">17 two-qubit gates, 8 measurements.</w:t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3. Resource projection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rPr>
          <w:tblHeader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Quantity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Logical qubits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8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Code distance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d = 9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below_threshold_scaling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Physical qubits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188,244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surface_code_litinski_2019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T-count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28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T-factories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23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invariant: ≤ T-count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Wall clock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0.189 ms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fault-tolerant projection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Fits on SQPU?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Yes</w:t>
            </w:r>
          </w:p>
        </w:tc>
        <w:tc>
          <w:tcPr>
            <w:tcW w:type="dxa" w:w="2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40"/>
      </w:pPr>
      <w:r>
        <w:rPr>
          <w:i/>
          <w:iCs/>
          <w:color w:val="707070"/>
          <w:sz w:val="18"/>
          <w:szCs w:val="18"/>
        </w:rPr>
        <w:t xml:space="preserve">Source: circuit_count_direct.</w:t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4. Gate-wise results</w:t>
      </w:r>
    </w:p>
    <w:p>
      <w:pPr>
        <w:spacing w:after="120" w:before="60" w:line="320"/>
        <w:jc w:val="both"/>
      </w:pPr>
      <w:r>
        <w:rPr>
          <w:color w:val="404040"/>
          <w:sz w:val="22"/>
          <w:szCs w:val="22"/>
        </w:rPr>
        <w:t xml:space="preserve">The table below shows the per-dimension readiness checks that compose the overall readiness score. Each check carries a weight; the score is the weighted average. Checks scoring ≥ 80 are considered passed, 60-79 are warnings, &lt; 60 are failed.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200"/>
        <w:gridCol w:w="1500"/>
        <w:gridCol w:w="366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Fits on SQPU fabric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PASSED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Yes — projected physical qubits within fabric budget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Physical qubit headroom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PASSED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188,244 physical qubits projected (healthy ≤ 200,000)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Code distance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PASSED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d = 9 (healthy)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T-factory allocation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PASSED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23 factories for 28 T-gates (invariant: factories ≤ T-count = 28)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Wall-clock projection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100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PASSED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0.189 ms estimated wall clock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Logical error rate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80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PASSED</w:t>
            </w:r>
          </w:p>
        </w:tc>
        <w:tc>
          <w:tcPr>
            <w:tcW w:type="dxa" w:w="3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worst-mode LER = 9.00e-5 per logical cycle</w:t>
            </w:r>
          </w:p>
        </w:tc>
      </w:tr>
    </w:tbl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5. Risk register</w:t>
      </w:r>
    </w:p>
    <w:p>
      <w:pPr>
        <w:spacing w:after="120" w:before="60" w:line="320"/>
        <w:jc w:val="both"/>
      </w:pPr>
      <w:r>
        <w:rPr>
          <w:color w:val="404040"/>
          <w:sz w:val="22"/>
          <w:szCs w:val="22"/>
        </w:rPr>
        <w:t xml:space="preserve">No material risks identified at this scope.</w:t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6. Recommended engineering actions</w:t>
      </w:r>
    </w:p>
    <w:p>
      <w:pPr>
        <w:spacing w:after="120" w:before="60" w:line="320"/>
        <w:jc w:val="both"/>
      </w:pPr>
      <w:r>
        <w:rPr>
          <w:color w:val="404040"/>
          <w:sz w:val="22"/>
          <w:szCs w:val="22"/>
        </w:rPr>
        <w:t xml:space="preserve">Actions are ranked by expected impact on the readiness score. Implementing high-impact items first is generally the most cost-effective path to a fabrication-ready architecture.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b/>
          <w:bCs/>
          <w:color w:val="404040"/>
          <w:sz w:val="22"/>
          <w:szCs w:val="22"/>
        </w:rPr>
        <w:t xml:space="preserve">[LOW IMPACT]  Run the full Architecture Validation suite for evidence-grade output — </w:t>
      </w:r>
      <w:r>
        <w:rPr>
          <w:color w:val="404040"/>
          <w:sz w:val="22"/>
          <w:szCs w:val="22"/>
        </w:rPr>
        <w:t xml:space="preserve">The playground gives a fast L1/L2 readiness sketch. For evidence-grade output (full 91 gates, sample-immune Monte Carlo, signed report), launch an Architecture Validation run from /dashboard.</w:t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7. Readiness scorecard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Overall readiness score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96 / 100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Verdict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04040"/>
                <w:sz w:val="20"/>
                <w:szCs w:val="20"/>
              </w:rPr>
              <w:t xml:space="preserve">Fabrication planning ready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Confidence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L3 — Engineering Grade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Gates passed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6 / 6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Gates with warnings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Gates failed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404040"/>
                <w:sz w:val="20"/>
                <w:szCs w:val="20"/>
              </w:rPr>
              <w:t xml:space="preserve">0</w:t>
            </w:r>
          </w:p>
        </w:tc>
      </w:tr>
    </w:tbl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8. Evidence appendix</w:t>
      </w:r>
    </w:p>
    <w:p>
      <w:pPr>
        <w:pStyle w:val="Heading2"/>
        <w:spacing w:after="120" w:before="240"/>
      </w:pPr>
      <w:r>
        <w:rPr>
          <w:b/>
          <w:bCs/>
          <w:color w:val="1A2A52"/>
          <w:sz w:val="24"/>
          <w:szCs w:val="24"/>
        </w:rPr>
        <w:t xml:space="preserve">8.1  Notes from the simulator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color w:val="404040"/>
          <w:sz w:val="22"/>
          <w:szCs w:val="22"/>
        </w:rPr>
        <w:t xml:space="preserve">Sample report — illustrative content. Actual run output will differ.</w:t>
      </w:r>
    </w:p>
    <w:p>
      <w:pPr>
        <w:pStyle w:val="Heading1"/>
        <w:pBdr>
          <w:bottom w:val="single" w:color="2BB39E" w:sz="6" w:space="4"/>
        </w:pBdr>
        <w:spacing w:after="180" w:before="360"/>
      </w:pPr>
      <w:r>
        <w:rPr>
          <w:b/>
          <w:bCs/>
          <w:color w:val="1A2A52"/>
          <w:sz w:val="30"/>
          <w:szCs w:val="30"/>
        </w:rPr>
        <w:t xml:space="preserve">9. Run metadata and audit log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Run ID: </w:t>
      </w:r>
      <w:r>
        <w:rPr>
          <w:color w:val="404040"/>
          <w:sz w:val="22"/>
          <w:szCs w:val="22"/>
        </w:rPr>
        <w:t xml:space="preserve">sample-2026-005.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Status: </w:t>
      </w:r>
      <w:r>
        <w:rPr>
          <w:color w:val="404040"/>
          <w:sz w:val="22"/>
          <w:szCs w:val="22"/>
        </w:rPr>
        <w:t xml:space="preserve">succeeded.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Evidence classification: </w:t>
      </w:r>
      <w:r>
        <w:rPr>
          <w:color w:val="404040"/>
          <w:sz w:val="22"/>
          <w:szCs w:val="22"/>
        </w:rPr>
        <w:t xml:space="preserve">stitched_composition.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Simulator version: </w:t>
      </w:r>
      <w:r>
        <w:rPr>
          <w:color w:val="404040"/>
          <w:sz w:val="22"/>
          <w:szCs w:val="22"/>
        </w:rPr>
        <w:t xml:space="preserve">v43_0_54_2_4_hardware_readiness_preflight</w:t>
      </w:r>
    </w:p>
    <w:p>
      <w:pPr>
        <w:spacing w:after="120" w:before="60" w:line="320"/>
        <w:jc w:val="both"/>
      </w:pPr>
      <w:r>
        <w:rPr>
          <w:b/>
          <w:bCs/>
          <w:color w:val="404040"/>
          <w:sz w:val="22"/>
          <w:szCs w:val="22"/>
        </w:rPr>
        <w:t xml:space="preserve">Seed: </w:t>
      </w:r>
      <w:r>
        <w:rPr>
          <w:color w:val="404040"/>
          <w:sz w:val="22"/>
          <w:szCs w:val="22"/>
        </w:rPr>
        <w:t xml:space="preserve">sample</w:t>
      </w:r>
    </w:p>
    <w:p>
      <w:pPr>
        <w:pBdr>
          <w:top w:val="single" w:color="1A2A52" w:sz="4" w:space="6"/>
        </w:pBdr>
        <w:spacing w:after="0" w:before="600"/>
      </w:pPr>
      <w:r>
        <w:rPr>
          <w:i/>
          <w:iCs/>
          <w:color w:val="707070"/>
          <w:sz w:val="18"/>
          <w:szCs w:val="18"/>
        </w:rPr>
        <w:t xml:space="preserve">End of report. Auto-generated platform report — not independently reviewed by Advay Labs. For an Advay-engineer-reviewed report bearing the Advay-reviewed Quantum Architecture Validation Report mark, request the Expert Review add-on at https://advaylabs.com/pricing.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07070"/>
        <w:sz w:val="16"/>
        <w:szCs w:val="16"/>
      </w:rPr>
      <w:t xml:space="preserve">Page </w:t>
    </w:r>
    <w:r>
      <w:rPr>
        <w:color w:val="70707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707070"/>
        <w:sz w:val="16"/>
        <w:szCs w:val="16"/>
      </w:rPr>
      <w:t xml:space="preserve">  ·  </w:t>
    </w:r>
    <w:r>
      <w:rPr>
        <w:color w:val="707070"/>
        <w:sz w:val="16"/>
        <w:szCs w:val="16"/>
      </w:rPr>
      <w:t xml:space="preserve">CONFIDENTIAL — Advay Labs Private Limited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2A52" w:sz="4" w:space="6"/>
      </w:pBdr>
      <w:tabs>
        <w:tab w:val="right" w:pos="9360"/>
      </w:tabs>
    </w:pPr>
    <w:r>
      <w:rPr>
        <w:b/>
        <w:bCs/>
        <w:color w:val="1A2A52"/>
        <w:sz w:val="18"/>
        <w:szCs w:val="18"/>
      </w:rPr>
      <w:t xml:space="preserve">ADVAY LABS · Quantum Architecture Validation Report</w:t>
    </w:r>
    <w:r>
      <w:t xml:space="preserve">	</w:t>
    </w:r>
    <w:r>
      <w:rPr>
        <w:color w:val="707070"/>
        <w:sz w:val="18"/>
        <w:szCs w:val="18"/>
      </w:rPr>
      <w:t xml:space="preserve">Run sample-2026-005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2026-05-23T03:12:06.619Z</dcterms:created>
  <dcterms:modified xsi:type="dcterms:W3CDTF">2026-05-23T03:12:06.619Z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